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A3337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B46598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0907" w:rsidRPr="006A3337" w:rsidRDefault="00DE2644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ФЕДОРОВС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0907" w:rsidRPr="006A3337" w:rsidRDefault="00C60907" w:rsidP="00007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D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60907" w:rsidRPr="006A3337" w:rsidRDefault="00C60907" w:rsidP="00D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60907" w:rsidRPr="006A3337" w:rsidRDefault="00C60907" w:rsidP="00D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C60907" w:rsidRPr="006A3337" w:rsidRDefault="00DE2644" w:rsidP="00D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ФЕДОРОВСКИЙ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КОМИТЕТЫ</w:t>
            </w:r>
          </w:p>
          <w:p w:rsidR="00C60907" w:rsidRPr="006A3337" w:rsidRDefault="00C60907" w:rsidP="00B4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C60907" w:rsidRPr="006A3337" w:rsidRDefault="00DE2644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12 октября 2015 г.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Федоровское 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№ 10 А</w:t>
      </w: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="00DE2644">
        <w:rPr>
          <w:rFonts w:ascii="Times New Roman" w:hAnsi="Times New Roman" w:cs="Times New Roman"/>
          <w:b/>
          <w:sz w:val="28"/>
          <w:szCs w:val="28"/>
        </w:rPr>
        <w:t>ИСПОЛНИТЕЛЬНОГО КОМИТЕТА ФЕДОРОВС</w:t>
      </w:r>
      <w:r w:rsidRPr="00097A44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</w:t>
      </w:r>
      <w:r w:rsidR="00DE2644">
        <w:rPr>
          <w:rFonts w:ascii="Times New Roman" w:hAnsi="Times New Roman" w:cs="Times New Roman"/>
          <w:b/>
          <w:sz w:val="28"/>
          <w:szCs w:val="28"/>
        </w:rPr>
        <w:t>ЕСПУБЛИКИ ТАТАРСТАН ОТ 13 АВГУСТА 2015 ГОДА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39A8"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DE2644">
        <w:rPr>
          <w:rFonts w:ascii="Times New Roman" w:hAnsi="Times New Roman" w:cs="Times New Roman"/>
          <w:b/>
          <w:sz w:val="28"/>
          <w:szCs w:val="28"/>
        </w:rPr>
        <w:t>НА ТЕРРИТОРИИ ФЕДОРОВС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r w:rsidR="006A3337">
        <w:rPr>
          <w:rFonts w:ascii="Times New Roman" w:hAnsi="Times New Roman" w:cs="Times New Roman"/>
          <w:sz w:val="28"/>
          <w:szCs w:val="28"/>
        </w:rPr>
        <w:t>,</w:t>
      </w:r>
      <w:r w:rsidR="006539A8"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>Исп</w:t>
      </w:r>
      <w:r w:rsidR="00DE2644">
        <w:rPr>
          <w:rFonts w:ascii="Times New Roman" w:hAnsi="Times New Roman" w:cs="Times New Roman"/>
          <w:sz w:val="28"/>
          <w:szCs w:val="28"/>
        </w:rPr>
        <w:t>олнительный комитет Федоровс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6539A8"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 w:rsidR="00DE2644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097A44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097A44" w:rsidRPr="00097A44">
        <w:rPr>
          <w:rFonts w:ascii="Times New Roman" w:hAnsi="Times New Roman" w:cs="Times New Roman"/>
          <w:sz w:val="28"/>
          <w:szCs w:val="28"/>
        </w:rPr>
        <w:t xml:space="preserve"> </w:t>
      </w:r>
      <w:r w:rsidR="00DE2644">
        <w:rPr>
          <w:rFonts w:ascii="Times New Roman" w:hAnsi="Times New Roman" w:cs="Times New Roman"/>
          <w:sz w:val="28"/>
          <w:szCs w:val="28"/>
        </w:rPr>
        <w:t>Федоровс</w:t>
      </w:r>
      <w:r w:rsidR="00097A44" w:rsidRPr="006A3337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097A44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97A44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DE2644">
        <w:rPr>
          <w:rFonts w:ascii="Times New Roman" w:hAnsi="Times New Roman" w:cs="Times New Roman"/>
          <w:sz w:val="28"/>
          <w:szCs w:val="28"/>
        </w:rPr>
        <w:t xml:space="preserve"> от 13.08.2015 года № 7</w:t>
      </w:r>
      <w:r w:rsidR="00097A44">
        <w:rPr>
          <w:rFonts w:ascii="Times New Roman" w:hAnsi="Times New Roman" w:cs="Times New Roman"/>
          <w:sz w:val="28"/>
          <w:szCs w:val="28"/>
        </w:rPr>
        <w:t xml:space="preserve"> «Об </w:t>
      </w:r>
      <w:r w:rsidR="00DE2644">
        <w:rPr>
          <w:rFonts w:ascii="Times New Roman" w:hAnsi="Times New Roman" w:cs="Times New Roman"/>
          <w:sz w:val="28"/>
          <w:szCs w:val="28"/>
        </w:rPr>
        <w:t>утверждении Правил</w:t>
      </w:r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DE2644">
        <w:rPr>
          <w:rFonts w:ascii="Times New Roman" w:hAnsi="Times New Roman" w:cs="Times New Roman"/>
          <w:sz w:val="28"/>
          <w:szCs w:val="28"/>
        </w:rPr>
        <w:t xml:space="preserve"> на территории Федоровс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>»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C60907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</w:t>
      </w:r>
      <w:r w:rsidR="006539A8"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</w:t>
      </w:r>
      <w:r w:rsidR="00DE2644">
        <w:rPr>
          <w:rStyle w:val="FontStyle12"/>
          <w:sz w:val="28"/>
          <w:szCs w:val="28"/>
        </w:rPr>
        <w:t>ормационных стендах Федоровс</w:t>
      </w:r>
      <w:r w:rsidRPr="006A3337">
        <w:rPr>
          <w:rStyle w:val="FontStyle12"/>
          <w:sz w:val="28"/>
          <w:szCs w:val="28"/>
        </w:rPr>
        <w:t>кого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>а также разместить н</w:t>
      </w:r>
      <w:r w:rsidR="00DE2644">
        <w:rPr>
          <w:rStyle w:val="FontStyle12"/>
          <w:sz w:val="28"/>
          <w:szCs w:val="28"/>
        </w:rPr>
        <w:t>а официальном сайте Федоровс</w:t>
      </w:r>
      <w:r w:rsidRPr="006A3337">
        <w:rPr>
          <w:rStyle w:val="FontStyle12"/>
          <w:sz w:val="28"/>
          <w:szCs w:val="28"/>
        </w:rPr>
        <w:t xml:space="preserve">кого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907" w:rsidRPr="00DE2644" w:rsidRDefault="00B46598" w:rsidP="00DE2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E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C60907" w:rsidRPr="00DE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E2644" w:rsidRPr="00DE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Ф.Ф. Зайнуллин</w:t>
      </w:r>
      <w:r w:rsidR="00C60907" w:rsidRPr="00DE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DE2644" w:rsidRPr="00DE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к постановлению Исполнительного комитета</w:t>
      </w:r>
    </w:p>
    <w:p w:rsidR="00B46598" w:rsidRPr="00B46598" w:rsidRDefault="00DE2644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Федоровс</w:t>
      </w:r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кого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DE2644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12.10. 2015 г. № 10 А</w:t>
      </w:r>
      <w:bookmarkStart w:id="2" w:name="_GoBack"/>
      <w:bookmarkEnd w:id="2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"/>
      <w:bookmarkEnd w:id="3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46598" w:rsidRPr="006A3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644">
        <w:rPr>
          <w:rFonts w:ascii="Times New Roman" w:hAnsi="Times New Roman" w:cs="Times New Roman"/>
          <w:b/>
          <w:sz w:val="24"/>
          <w:szCs w:val="24"/>
        </w:rPr>
        <w:t>НА ТЕРРИТОРИИ ФЕДОРОВС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DE2644">
        <w:rPr>
          <w:rFonts w:ascii="Times New Roman" w:hAnsi="Times New Roman" w:cs="Times New Roman"/>
          <w:sz w:val="24"/>
          <w:szCs w:val="24"/>
        </w:rPr>
        <w:t xml:space="preserve"> на территории Федоровс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9A8"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539A8" w:rsidRPr="006A333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>спол</w:t>
      </w:r>
      <w:r w:rsidR="00DE2644">
        <w:rPr>
          <w:rFonts w:ascii="Times New Roman" w:hAnsi="Times New Roman" w:cs="Times New Roman"/>
          <w:sz w:val="24"/>
          <w:szCs w:val="24"/>
        </w:rPr>
        <w:t>нительным комитетом Федоровс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DE2644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>(далее-уполномоченный орган)</w:t>
      </w:r>
      <w:r w:rsidRPr="006A3337">
        <w:rPr>
          <w:rFonts w:ascii="Times New Roman" w:hAnsi="Times New Roman" w:cs="Times New Roman"/>
          <w:sz w:val="24"/>
          <w:szCs w:val="24"/>
        </w:rPr>
        <w:t xml:space="preserve">, с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6"/>
      <w:bookmarkEnd w:id="9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8"/>
      <w:bookmarkEnd w:id="11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6A333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1"/>
      <w:bookmarkEnd w:id="14"/>
      <w:r w:rsidRPr="006A3337">
        <w:rPr>
          <w:rFonts w:ascii="Times New Roman" w:hAnsi="Times New Roman" w:cs="Times New Roman"/>
          <w:sz w:val="24"/>
          <w:szCs w:val="24"/>
        </w:rPr>
        <w:t xml:space="preserve">29. С заявлением вправе обратиться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прилагается доверенность, выданная представителю заявителя, оформленная в порядке, предусмотренном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5"/>
      <w:bookmarkEnd w:id="15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35. 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3"/>
      <w:bookmarkEnd w:id="16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4"/>
      <w:bookmarkEnd w:id="17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6A3337">
          <w:rPr>
            <w:rFonts w:ascii="Times New Roman" w:hAnsi="Times New Roman" w:cs="Times New Roman"/>
            <w:sz w:val="24"/>
            <w:szCs w:val="24"/>
          </w:rPr>
          <w:lastRenderedPageBreak/>
          <w:t>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9"/>
      <w:bookmarkEnd w:id="18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68"/>
      <w:bookmarkEnd w:id="19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0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3"/>
      <w:bookmarkEnd w:id="21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06"/>
      <w:bookmarkEnd w:id="22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 наименованиям в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"-"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"."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"(" - 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")" - закрывающая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6A3337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A8"/>
    <w:rsid w:val="00097A44"/>
    <w:rsid w:val="006539A8"/>
    <w:rsid w:val="006A3337"/>
    <w:rsid w:val="00735A08"/>
    <w:rsid w:val="008F104B"/>
    <w:rsid w:val="008F19D1"/>
    <w:rsid w:val="00B46598"/>
    <w:rsid w:val="00C60907"/>
    <w:rsid w:val="00D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67D7-415C-4457-8CBC-B184879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907EA694B3D34212BF1372224D26575D23417EC6738E5X9M5F" TargetMode="External"/><Relationship Id="rId18" Type="http://schemas.openxmlformats.org/officeDocument/2006/relationships/hyperlink" Target="consultantplus://offline/ref=842F167D4C1D5ABDA00DF01F4CBA517619F906ED6A473D34212BF1372224D26575D23412XEM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9F906E268473D34212BF1372224D26575D23417EC6739E4X9M9F" TargetMode="External"/><Relationship Id="rId7" Type="http://schemas.openxmlformats.org/officeDocument/2006/relationships/hyperlink" Target="consultantplus://offline/ref=842F167D4C1D5ABDA00DF01F4CBA517619F907EA694B3D34212BF1372224D26575D23417EC6738E1X9MFF" TargetMode="External"/><Relationship Id="rId12" Type="http://schemas.openxmlformats.org/officeDocument/2006/relationships/hyperlink" Target="consultantplus://offline/ref=842F167D4C1D5ABDA00DF01F4CBA517619F304E86D423D34212BF1372224D26575D23417EC673AE7X9MCF" TargetMode="External"/><Relationship Id="rId17" Type="http://schemas.openxmlformats.org/officeDocument/2006/relationships/hyperlink" Target="consultantplus://offline/ref=842F167D4C1D5ABDA00DF01F4CBA517619F906E36D473D34212BF1372224D26575D23417E9X6M6F" TargetMode="External"/><Relationship Id="rId25" Type="http://schemas.openxmlformats.org/officeDocument/2006/relationships/hyperlink" Target="consultantplus://offline/ref=842F167D4C1D5ABDA00DF01F4CBA51761AF903EF64146A36707EFFX3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1XEMEF" TargetMode="External"/><Relationship Id="rId20" Type="http://schemas.openxmlformats.org/officeDocument/2006/relationships/hyperlink" Target="consultantplus://offline/ref=842F167D4C1D5ABDA00DF01F4CBA517611F802EC6E49603E2972FD35X2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6ED6A473D34212BF1372224D26575D23417EC673CE5X9M5F" TargetMode="External"/><Relationship Id="rId11" Type="http://schemas.openxmlformats.org/officeDocument/2006/relationships/hyperlink" Target="consultantplus://offline/ref=842F167D4C1D5ABDA00DF01F4CBA517619F907EA694B3D34212BF1372224D26575D23414EEX6M3F" TargetMode="External"/><Relationship Id="rId24" Type="http://schemas.openxmlformats.org/officeDocument/2006/relationships/hyperlink" Target="consultantplus://offline/ref=842F167D4C1D5ABDA00DF01F4CBA517619F607EE69453D34212BF1372224D26575D23412EAX6M2F" TargetMode="External"/><Relationship Id="rId5" Type="http://schemas.openxmlformats.org/officeDocument/2006/relationships/hyperlink" Target="consultantplus://offline/ref=842F167D4C1D5ABDA00DF01F4CBA517619F907EA694B3D34212BF1372224D26575D23417XEMCF" TargetMode="External"/><Relationship Id="rId15" Type="http://schemas.openxmlformats.org/officeDocument/2006/relationships/hyperlink" Target="consultantplus://offline/ref=842F167D4C1D5ABDA00DF01F4CBA517619F907EA694B3D34212BF1372224D26575D23414EEX6M1F" TargetMode="External"/><Relationship Id="rId23" Type="http://schemas.openxmlformats.org/officeDocument/2006/relationships/hyperlink" Target="consultantplus://offline/ref=842F167D4C1D5ABDA00DF01F4CBA517619F904E866433D34212BF1372224D26575D23417EC673BE5X9M8F" TargetMode="External"/><Relationship Id="rId10" Type="http://schemas.openxmlformats.org/officeDocument/2006/relationships/hyperlink" Target="consultantplus://offline/ref=842F167D4C1D5ABDA00DF01F4CBA517619F906E268473D34212BF1372224D26575D23417EC673BEFX9MAF" TargetMode="External"/><Relationship Id="rId19" Type="http://schemas.openxmlformats.org/officeDocument/2006/relationships/hyperlink" Target="consultantplus://offline/ref=842F167D4C1D5ABDA00DF01F4CBA517619F601E86F413D34212BF1372224D26575D23417EC673AE7X9MDF" TargetMode="External"/><Relationship Id="rId4" Type="http://schemas.openxmlformats.org/officeDocument/2006/relationships/hyperlink" Target="consultantplus://offline/ref=842F167D4C1D5ABDA00DF01F4CBA517619F907EA694B3D34212BF1372224D26575D23417EC6738E5X9M5F" TargetMode="External"/><Relationship Id="rId9" Type="http://schemas.openxmlformats.org/officeDocument/2006/relationships/hyperlink" Target="consultantplus://offline/ref=842F167D4C1D5ABDA00DF01F4CBA517619F906ED6A473D34212BF13722X2M4F" TargetMode="External"/><Relationship Id="rId14" Type="http://schemas.openxmlformats.org/officeDocument/2006/relationships/hyperlink" Target="consultantplus://offline/ref=842F167D4C1D5ABDA00DF01F4CBA517619F907EA694B3D34212BF1372224D26575D23417XEMCF" TargetMode="External"/><Relationship Id="rId22" Type="http://schemas.openxmlformats.org/officeDocument/2006/relationships/hyperlink" Target="consultantplus://offline/ref=842F167D4C1D5ABDA00DF01F4CBA517619F607EC6F453D34212BF1372224D26575D23417EC673FE2X9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5807</Words>
  <Characters>33103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2</cp:revision>
  <dcterms:created xsi:type="dcterms:W3CDTF">2015-10-30T04:16:00Z</dcterms:created>
  <dcterms:modified xsi:type="dcterms:W3CDTF">2015-10-30T04:16:00Z</dcterms:modified>
</cp:coreProperties>
</file>